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16" w:rsidRDefault="004D7C16" w:rsidP="00EA321F">
      <w:pPr>
        <w:contextualSpacing/>
        <w:rPr>
          <w:b/>
          <w:sz w:val="40"/>
          <w:szCs w:val="40"/>
        </w:rPr>
      </w:pPr>
      <w:r w:rsidRPr="004D7C16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4132580</wp:posOffset>
            </wp:positionH>
            <wp:positionV relativeFrom="page">
              <wp:posOffset>561975</wp:posOffset>
            </wp:positionV>
            <wp:extent cx="1875790" cy="695325"/>
            <wp:effectExtent l="0" t="0" r="0" b="9525"/>
            <wp:wrapTopAndBottom/>
            <wp:docPr id="1" name="Picture 1" descr="C:\Users\CRER\Documents\Carol\Admin\Web design\Website design elements and logo\CRER logo dark 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R\Documents\Carol\Admin\Web design\Website design elements and logo\CRER logo dark blu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CDC" w:rsidRDefault="00E662D6" w:rsidP="00EC0CD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National Discussion on the Future of Education </w:t>
      </w:r>
    </w:p>
    <w:p w:rsidR="00EA321F" w:rsidRPr="00EA321F" w:rsidRDefault="00EA321F" w:rsidP="00EC0CDC">
      <w:pPr>
        <w:rPr>
          <w:b/>
          <w:sz w:val="32"/>
          <w:szCs w:val="32"/>
          <w:lang w:val="en-US"/>
        </w:rPr>
      </w:pPr>
      <w:r w:rsidRPr="00EA321F">
        <w:rPr>
          <w:b/>
          <w:sz w:val="32"/>
          <w:szCs w:val="32"/>
          <w:lang w:val="en-US"/>
        </w:rPr>
        <w:t>Coalition for Racial Equality and Rights</w:t>
      </w:r>
    </w:p>
    <w:p w:rsidR="00EA321F" w:rsidRDefault="00650EB7" w:rsidP="003C1B59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Octo</w:t>
      </w:r>
      <w:bookmarkStart w:id="0" w:name="_GoBack"/>
      <w:bookmarkEnd w:id="0"/>
      <w:r>
        <w:rPr>
          <w:b/>
          <w:sz w:val="32"/>
          <w:szCs w:val="32"/>
          <w:lang w:val="en-US"/>
        </w:rPr>
        <w:t>ber</w:t>
      </w:r>
      <w:r w:rsidR="00EA321F" w:rsidRPr="00EA321F">
        <w:rPr>
          <w:b/>
          <w:sz w:val="32"/>
          <w:szCs w:val="32"/>
          <w:lang w:val="en-US"/>
        </w:rPr>
        <w:t xml:space="preserve"> 2022</w:t>
      </w:r>
    </w:p>
    <w:p w:rsidR="00C02A83" w:rsidRDefault="00C02A83" w:rsidP="00C02A83">
      <w:pPr>
        <w:pStyle w:val="Heading3"/>
      </w:pPr>
    </w:p>
    <w:p w:rsidR="00E04CA9" w:rsidRPr="00C02A83" w:rsidRDefault="00C02A83" w:rsidP="00C02A83">
      <w:pPr>
        <w:pStyle w:val="Heading3"/>
      </w:pPr>
      <w:r w:rsidRPr="00C02A83">
        <w:t>Originally submitted via an online survey</w:t>
      </w:r>
    </w:p>
    <w:p w:rsidR="00650C1B" w:rsidRPr="00650C1B" w:rsidRDefault="00650C1B" w:rsidP="00650C1B">
      <w:pPr>
        <w:rPr>
          <w:b/>
          <w:sz w:val="28"/>
          <w:szCs w:val="28"/>
        </w:rPr>
      </w:pPr>
      <w:r w:rsidRPr="00650C1B">
        <w:rPr>
          <w:b/>
          <w:sz w:val="28"/>
          <w:szCs w:val="28"/>
        </w:rPr>
        <w:t>To what extent do you support, or not support, the Scottish government’s overall proposed vision for th</w:t>
      </w:r>
      <w:r w:rsidRPr="00650C1B">
        <w:rPr>
          <w:b/>
          <w:sz w:val="28"/>
          <w:szCs w:val="28"/>
        </w:rPr>
        <w:t xml:space="preserve">e purpose and aim of inspection </w:t>
      </w:r>
      <w:r w:rsidRPr="00650C1B">
        <w:rPr>
          <w:b/>
          <w:sz w:val="28"/>
          <w:szCs w:val="28"/>
        </w:rPr>
        <w:t>of ELC and school age childcare services?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Partially support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Concerns have been raised repeatedly that ELC settings do not meet the needs of, or are less accessible for, Black and min</w:t>
      </w:r>
      <w:r>
        <w:rPr>
          <w:sz w:val="28"/>
          <w:szCs w:val="28"/>
        </w:rPr>
        <w:t xml:space="preserve">ority ethnic children and their </w:t>
      </w:r>
      <w:r w:rsidRPr="00650C1B">
        <w:rPr>
          <w:sz w:val="28"/>
          <w:szCs w:val="28"/>
        </w:rPr>
        <w:t>families (including within our own research on poverty, as a key underlying factor - https://bit.ly/3TM6LFw).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Despite this, the wording within the vision treats children and families as homogenous, with no recognition of the need for r</w:t>
      </w:r>
      <w:r>
        <w:rPr>
          <w:sz w:val="28"/>
          <w:szCs w:val="28"/>
        </w:rPr>
        <w:t xml:space="preserve">acially literate and culturally </w:t>
      </w:r>
      <w:r w:rsidRPr="00650C1B">
        <w:rPr>
          <w:sz w:val="28"/>
          <w:szCs w:val="28"/>
        </w:rPr>
        <w:t>responsive approaches. Similar lack of reflection is present in relation to the specific needs of other protected characteristic groups.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 xml:space="preserve">Whilst the reference to children’s rights is welcome, this will not instil a strong sense of the need to ensure services </w:t>
      </w:r>
      <w:r>
        <w:rPr>
          <w:sz w:val="28"/>
          <w:szCs w:val="28"/>
        </w:rPr>
        <w:t xml:space="preserve">meet needs and provide positive </w:t>
      </w:r>
      <w:r w:rsidRPr="00650C1B">
        <w:rPr>
          <w:sz w:val="28"/>
          <w:szCs w:val="28"/>
        </w:rPr>
        <w:t>experiences on an equal basis.</w:t>
      </w:r>
    </w:p>
    <w:p w:rsidR="00650C1B" w:rsidRPr="00650C1B" w:rsidRDefault="00650C1B" w:rsidP="00650C1B">
      <w:pPr>
        <w:rPr>
          <w:b/>
          <w:sz w:val="28"/>
          <w:szCs w:val="28"/>
        </w:rPr>
      </w:pPr>
      <w:r w:rsidRPr="00650C1B">
        <w:rPr>
          <w:b/>
          <w:sz w:val="28"/>
          <w:szCs w:val="28"/>
        </w:rPr>
        <w:t>Do you think the proposed vision is missing anything or contains something that you think does not</w:t>
      </w:r>
      <w:r w:rsidRPr="00650C1B">
        <w:rPr>
          <w:b/>
          <w:sz w:val="28"/>
          <w:szCs w:val="28"/>
        </w:rPr>
        <w:t xml:space="preserve"> reflect the purpose and aim of </w:t>
      </w:r>
      <w:r w:rsidRPr="00650C1B">
        <w:rPr>
          <w:b/>
          <w:sz w:val="28"/>
          <w:szCs w:val="28"/>
        </w:rPr>
        <w:t>inspection of ELC and school age childcare services?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Yes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We would suggest inclusion of wording (potentially after the line on children’s rights) such as: “Its approach reflects the diverse needs and experiences of</w:t>
      </w:r>
      <w:r>
        <w:rPr>
          <w:sz w:val="28"/>
          <w:szCs w:val="28"/>
        </w:rPr>
        <w:t xml:space="preserve"> </w:t>
      </w:r>
      <w:r w:rsidRPr="00650C1B">
        <w:rPr>
          <w:sz w:val="28"/>
          <w:szCs w:val="28"/>
        </w:rPr>
        <w:t>children and families, seeking to ensure that services and settings are accessible, free from prejudice or discrimination and actively working to promote</w:t>
      </w:r>
      <w:r>
        <w:rPr>
          <w:sz w:val="28"/>
          <w:szCs w:val="28"/>
        </w:rPr>
        <w:t xml:space="preserve"> </w:t>
      </w:r>
      <w:r w:rsidRPr="00650C1B">
        <w:rPr>
          <w:sz w:val="28"/>
          <w:szCs w:val="28"/>
        </w:rPr>
        <w:t>equality and community cohesion.”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This is in line with the broader focus on equality and social justice across Scotland’s education sector.</w:t>
      </w:r>
    </w:p>
    <w:p w:rsidR="00650C1B" w:rsidRPr="00650C1B" w:rsidRDefault="00650C1B" w:rsidP="00650C1B">
      <w:pPr>
        <w:rPr>
          <w:b/>
          <w:sz w:val="28"/>
          <w:szCs w:val="28"/>
        </w:rPr>
      </w:pPr>
      <w:r w:rsidRPr="00650C1B">
        <w:rPr>
          <w:b/>
          <w:sz w:val="28"/>
          <w:szCs w:val="28"/>
        </w:rPr>
        <w:t>To what extent do you support, or not support, the Scottish government’s draft guiding principles for inspect</w:t>
      </w:r>
      <w:r w:rsidRPr="00650C1B">
        <w:rPr>
          <w:b/>
          <w:sz w:val="28"/>
          <w:szCs w:val="28"/>
        </w:rPr>
        <w:t xml:space="preserve">ion of ELC and school age </w:t>
      </w:r>
      <w:r w:rsidRPr="00650C1B">
        <w:rPr>
          <w:b/>
          <w:sz w:val="28"/>
          <w:szCs w:val="28"/>
        </w:rPr>
        <w:t>childcare services?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Partially support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Within the context underlying these principles, there are a number of key issues affecting Black and minority ethnic child</w:t>
      </w:r>
      <w:r>
        <w:rPr>
          <w:sz w:val="28"/>
          <w:szCs w:val="28"/>
        </w:rPr>
        <w:t xml:space="preserve">ren and families. Many of these </w:t>
      </w:r>
      <w:r w:rsidRPr="00650C1B">
        <w:rPr>
          <w:sz w:val="28"/>
          <w:szCs w:val="28"/>
        </w:rPr>
        <w:t>issues would require resolution within other policy areas which have an impact on the operation of the principles. Howeve</w:t>
      </w:r>
      <w:r>
        <w:rPr>
          <w:sz w:val="28"/>
          <w:szCs w:val="28"/>
        </w:rPr>
        <w:t xml:space="preserve">r, even in the absence of these </w:t>
      </w:r>
      <w:r w:rsidRPr="00650C1B">
        <w:rPr>
          <w:sz w:val="28"/>
          <w:szCs w:val="28"/>
        </w:rPr>
        <w:t>solutions, there is a need from an equality mainstreaming point of view to ensure measures are taken to recogni</w:t>
      </w:r>
      <w:r>
        <w:rPr>
          <w:sz w:val="28"/>
          <w:szCs w:val="28"/>
        </w:rPr>
        <w:t xml:space="preserve">se, explore and try to mitigate </w:t>
      </w:r>
      <w:r w:rsidRPr="00650C1B">
        <w:rPr>
          <w:sz w:val="28"/>
          <w:szCs w:val="28"/>
        </w:rPr>
        <w:t>inequalities through inspection.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Without a strong understanding of these matters on the part of inspectors and joined up working across the edu</w:t>
      </w:r>
      <w:r>
        <w:rPr>
          <w:sz w:val="28"/>
          <w:szCs w:val="28"/>
        </w:rPr>
        <w:t xml:space="preserve">cation sector and with Scottish </w:t>
      </w:r>
      <w:r w:rsidRPr="00650C1B">
        <w:rPr>
          <w:sz w:val="28"/>
          <w:szCs w:val="28"/>
        </w:rPr>
        <w:t>Government to tackle structural racism, the principles as they stand will potentially maintain or reinforce inequalitie</w:t>
      </w:r>
      <w:r>
        <w:rPr>
          <w:sz w:val="28"/>
          <w:szCs w:val="28"/>
        </w:rPr>
        <w:t xml:space="preserve">s for Black and minority ethnic </w:t>
      </w:r>
      <w:r w:rsidRPr="00650C1B">
        <w:rPr>
          <w:sz w:val="28"/>
          <w:szCs w:val="28"/>
        </w:rPr>
        <w:t>children and families.</w:t>
      </w:r>
    </w:p>
    <w:p w:rsidR="00650C1B" w:rsidRPr="00650C1B" w:rsidRDefault="00650C1B" w:rsidP="00650C1B">
      <w:pPr>
        <w:rPr>
          <w:b/>
          <w:sz w:val="28"/>
          <w:szCs w:val="28"/>
        </w:rPr>
      </w:pPr>
      <w:r w:rsidRPr="00650C1B">
        <w:rPr>
          <w:b/>
          <w:sz w:val="28"/>
          <w:szCs w:val="28"/>
        </w:rPr>
        <w:t>If you answered ‘partially support’, please can you tell us more about which princ</w:t>
      </w:r>
      <w:r w:rsidRPr="00650C1B">
        <w:rPr>
          <w:b/>
          <w:sz w:val="28"/>
          <w:szCs w:val="28"/>
        </w:rPr>
        <w:t>iples you do and don’t support?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We do not reject any of the principles, but they are supported only with caveats to ensure adequate consideration of racial equality.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1. Support our National Outcomes and improve children’s life chances through the provision of high quality services, to ensure</w:t>
      </w:r>
      <w:r>
        <w:rPr>
          <w:sz w:val="28"/>
          <w:szCs w:val="28"/>
        </w:rPr>
        <w:t xml:space="preserve"> that our children’s rights </w:t>
      </w:r>
      <w:r w:rsidRPr="00650C1B">
        <w:rPr>
          <w:sz w:val="28"/>
          <w:szCs w:val="28"/>
        </w:rPr>
        <w:t>are respected, they grow up loved and safe, and can realise their full potential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The National Outcomes system in its current form is institutionally racist, because as our research demonstrates (https:</w:t>
      </w:r>
      <w:r>
        <w:rPr>
          <w:sz w:val="28"/>
          <w:szCs w:val="28"/>
        </w:rPr>
        <w:t xml:space="preserve">//bit.ly/3zndTzI), it cannot be </w:t>
      </w:r>
      <w:r w:rsidRPr="00650C1B">
        <w:rPr>
          <w:sz w:val="28"/>
          <w:szCs w:val="28"/>
        </w:rPr>
        <w:t>used to benchmark or measure progress for Black and minority ethnic people on an equal basis. Four of the six indicat</w:t>
      </w:r>
      <w:r>
        <w:rPr>
          <w:sz w:val="28"/>
          <w:szCs w:val="28"/>
        </w:rPr>
        <w:t xml:space="preserve">ors on the outcome for children </w:t>
      </w:r>
      <w:r w:rsidRPr="00650C1B">
        <w:rPr>
          <w:sz w:val="28"/>
          <w:szCs w:val="28"/>
        </w:rPr>
        <w:t>and young people cannot be measured by ethnicity (Quality of Children's Services, Child Wellbeing and Happiness, Health</w:t>
      </w:r>
      <w:r>
        <w:rPr>
          <w:sz w:val="28"/>
          <w:szCs w:val="28"/>
        </w:rPr>
        <w:t xml:space="preserve">y Start, Children Have Positive </w:t>
      </w:r>
      <w:r w:rsidRPr="00650C1B">
        <w:rPr>
          <w:sz w:val="28"/>
          <w:szCs w:val="28"/>
        </w:rPr>
        <w:t>Relationships). A focus on the National Outcomes within the basis for inspection will therefore not be as beneficial for Bla</w:t>
      </w:r>
      <w:r>
        <w:rPr>
          <w:sz w:val="28"/>
          <w:szCs w:val="28"/>
        </w:rPr>
        <w:t xml:space="preserve">ck and minority ethnic children </w:t>
      </w:r>
      <w:r w:rsidRPr="00650C1B">
        <w:rPr>
          <w:sz w:val="28"/>
          <w:szCs w:val="28"/>
        </w:rPr>
        <w:t>and their families as it is for wider communities.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Stakeholder engagement with children and young people has demonstrated that common approaches to children</w:t>
      </w:r>
      <w:r>
        <w:rPr>
          <w:sz w:val="28"/>
          <w:szCs w:val="28"/>
        </w:rPr>
        <w:t xml:space="preserve">’s rights, for example Rights </w:t>
      </w:r>
      <w:r w:rsidRPr="00650C1B">
        <w:rPr>
          <w:sz w:val="28"/>
          <w:szCs w:val="28"/>
        </w:rPr>
        <w:t>Respecting Schools, are not perceived to adequately support the rights of Black and minority ethnic children and you</w:t>
      </w:r>
      <w:r>
        <w:rPr>
          <w:sz w:val="28"/>
          <w:szCs w:val="28"/>
        </w:rPr>
        <w:t xml:space="preserve">ng people. This is liable to be </w:t>
      </w:r>
      <w:r w:rsidRPr="00650C1B">
        <w:rPr>
          <w:sz w:val="28"/>
          <w:szCs w:val="28"/>
        </w:rPr>
        <w:t>replicated in the ELC environment due to a lack of racial literacy, intercultural competence and cultural responsiveness. Th</w:t>
      </w:r>
      <w:r>
        <w:rPr>
          <w:sz w:val="28"/>
          <w:szCs w:val="28"/>
        </w:rPr>
        <w:t xml:space="preserve">is will have to be addressed if </w:t>
      </w:r>
      <w:r w:rsidRPr="00650C1B">
        <w:rPr>
          <w:sz w:val="28"/>
          <w:szCs w:val="28"/>
        </w:rPr>
        <w:t>this principle is to be realised for Black and minority ethnic children.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Similarly, the notion of ‘safe’ in service settings has additional implications for children at risk of experiencing racis</w:t>
      </w:r>
      <w:r>
        <w:rPr>
          <w:sz w:val="28"/>
          <w:szCs w:val="28"/>
        </w:rPr>
        <w:t xml:space="preserve">m, prejudice and discrimination </w:t>
      </w:r>
      <w:r w:rsidRPr="00650C1B">
        <w:rPr>
          <w:sz w:val="28"/>
          <w:szCs w:val="28"/>
        </w:rPr>
        <w:t>(including structural racism where settings fail to meet needs and reflect experiences).</w:t>
      </w:r>
    </w:p>
    <w:p w:rsid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2. Provide clarity to settings, practitioners and parents and carers on what standards they can expect and the roles and resp</w:t>
      </w:r>
      <w:r>
        <w:rPr>
          <w:sz w:val="28"/>
          <w:szCs w:val="28"/>
        </w:rPr>
        <w:t>onsibilities of key agencies in delivering them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 xml:space="preserve">These standards should include protecting and promoting children and families’ rights under the Equality Act 2010, UN </w:t>
      </w:r>
      <w:r>
        <w:rPr>
          <w:sz w:val="28"/>
          <w:szCs w:val="28"/>
        </w:rPr>
        <w:t xml:space="preserve">Convention on the Rights of the </w:t>
      </w:r>
      <w:r w:rsidRPr="00650C1B">
        <w:rPr>
          <w:sz w:val="28"/>
          <w:szCs w:val="28"/>
        </w:rPr>
        <w:t>Child, Council of Europe Framework Convention for the Protection of National Minorities and United Nations Internationa</w:t>
      </w:r>
      <w:r>
        <w:rPr>
          <w:sz w:val="28"/>
          <w:szCs w:val="28"/>
        </w:rPr>
        <w:t xml:space="preserve">l Convention on the Elimination </w:t>
      </w:r>
      <w:r w:rsidRPr="00650C1B">
        <w:rPr>
          <w:sz w:val="28"/>
          <w:szCs w:val="28"/>
        </w:rPr>
        <w:t>of All Forms of Racial Discrimination, amongst other relevant human rights instruments. This needs to reflect particularly on non-discrimination, cultur</w:t>
      </w:r>
      <w:r>
        <w:rPr>
          <w:sz w:val="28"/>
          <w:szCs w:val="28"/>
        </w:rPr>
        <w:t xml:space="preserve">al </w:t>
      </w:r>
      <w:r w:rsidRPr="00650C1B">
        <w:rPr>
          <w:sz w:val="28"/>
          <w:szCs w:val="28"/>
        </w:rPr>
        <w:t>and identity focussed rights which particularly impact Black and minority ethnic children and families within the human rights sphere.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 xml:space="preserve">As part of the broader reforms in ELC, such as the shared framework, it would be useful to reflect on and strengthen </w:t>
      </w:r>
      <w:r>
        <w:rPr>
          <w:sz w:val="28"/>
          <w:szCs w:val="28"/>
        </w:rPr>
        <w:t xml:space="preserve">the standards set out for those </w:t>
      </w:r>
      <w:r w:rsidRPr="00650C1B">
        <w:rPr>
          <w:sz w:val="28"/>
          <w:szCs w:val="28"/>
        </w:rPr>
        <w:t>working in these settings to include an explicit focus on making their services and settings accessible, eliminating prejudice</w:t>
      </w:r>
      <w:r>
        <w:rPr>
          <w:sz w:val="28"/>
          <w:szCs w:val="28"/>
        </w:rPr>
        <w:t xml:space="preserve"> or discrimination and actively </w:t>
      </w:r>
      <w:r w:rsidRPr="00650C1B">
        <w:rPr>
          <w:sz w:val="28"/>
          <w:szCs w:val="28"/>
        </w:rPr>
        <w:t>promoting equality and community cohesion.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3. Support consistency in outcomes across services so that all children and families experience high quality provision, regardless of where it is accessed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This principle currently has a geographical and/or setting-based focus, but could usefully be expanded to include a focus on equality in service provision.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4. Support continuous improvement within individual settings and add value to the delivery of services, including throu</w:t>
      </w:r>
      <w:r>
        <w:rPr>
          <w:sz w:val="28"/>
          <w:szCs w:val="28"/>
        </w:rPr>
        <w:t xml:space="preserve">gh building on settings’ use of </w:t>
      </w:r>
      <w:r w:rsidRPr="00650C1B">
        <w:rPr>
          <w:sz w:val="28"/>
          <w:szCs w:val="28"/>
        </w:rPr>
        <w:t>self-evaluation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 xml:space="preserve">This principle would need to be implemented with regard to equality, for example inspectors would need access to data </w:t>
      </w:r>
      <w:r>
        <w:rPr>
          <w:sz w:val="28"/>
          <w:szCs w:val="28"/>
        </w:rPr>
        <w:t xml:space="preserve">and information (including from </w:t>
      </w:r>
      <w:r w:rsidRPr="00650C1B">
        <w:rPr>
          <w:sz w:val="28"/>
          <w:szCs w:val="28"/>
        </w:rPr>
        <w:t>self-evaluation) on improvement for specific groups of learners with protected characteristics.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From an anti-racist perspective, this consideration would need to be nuanced to reflect potential differences in levels o</w:t>
      </w:r>
      <w:r>
        <w:rPr>
          <w:sz w:val="28"/>
          <w:szCs w:val="28"/>
        </w:rPr>
        <w:t xml:space="preserve">f improvement across a range of </w:t>
      </w:r>
      <w:r w:rsidRPr="00650C1B">
        <w:rPr>
          <w:sz w:val="28"/>
          <w:szCs w:val="28"/>
        </w:rPr>
        <w:t>indicators within and between specific ethnic groups (with use of Census categories in exploring this where possi</w:t>
      </w:r>
      <w:r>
        <w:rPr>
          <w:sz w:val="28"/>
          <w:szCs w:val="28"/>
        </w:rPr>
        <w:t xml:space="preserve">ble, to enable benchmarking and </w:t>
      </w:r>
      <w:r w:rsidRPr="00650C1B">
        <w:rPr>
          <w:sz w:val="28"/>
          <w:szCs w:val="28"/>
        </w:rPr>
        <w:t>progress monitoring over time).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5. Support collaboration and professional dialogue between providers, practitioners, teachers and staff working in settin</w:t>
      </w:r>
      <w:r>
        <w:rPr>
          <w:sz w:val="28"/>
          <w:szCs w:val="28"/>
        </w:rPr>
        <w:t xml:space="preserve">gs, inspection bodies and local </w:t>
      </w:r>
      <w:r w:rsidRPr="00650C1B">
        <w:rPr>
          <w:sz w:val="28"/>
          <w:szCs w:val="28"/>
        </w:rPr>
        <w:t>authorities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This should include collaboration and dialogue which improves racial literacy and enables implementation of anti-rac</w:t>
      </w:r>
      <w:r>
        <w:rPr>
          <w:sz w:val="28"/>
          <w:szCs w:val="28"/>
        </w:rPr>
        <w:t xml:space="preserve">ist work / work to identify and </w:t>
      </w:r>
      <w:r w:rsidRPr="00650C1B">
        <w:rPr>
          <w:sz w:val="28"/>
          <w:szCs w:val="28"/>
        </w:rPr>
        <w:t>remove racial inequalities and barriers.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6. Listen to and take account of the views, experiences and needs of children and families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Where these views and experiences are gathered, mechanisms must be present to draw out the information gathered</w:t>
      </w:r>
      <w:r>
        <w:rPr>
          <w:sz w:val="28"/>
          <w:szCs w:val="28"/>
        </w:rPr>
        <w:t xml:space="preserve"> from Black and minority ethnic </w:t>
      </w:r>
      <w:r w:rsidRPr="00650C1B">
        <w:rPr>
          <w:sz w:val="28"/>
          <w:szCs w:val="28"/>
        </w:rPr>
        <w:t>children and families in order to ensure that the results are acted on in a way which does not maintain or entrench inequalities.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7. Be adaptable to respond to evidence and new policy developments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This should explicitly include the growing body of evidence and policy on anti-racism in education; the ELC sect</w:t>
      </w:r>
      <w:r>
        <w:rPr>
          <w:sz w:val="28"/>
          <w:szCs w:val="28"/>
        </w:rPr>
        <w:t xml:space="preserve">or should consider adopting the </w:t>
      </w:r>
      <w:r w:rsidRPr="00650C1B">
        <w:rPr>
          <w:sz w:val="28"/>
          <w:szCs w:val="28"/>
        </w:rPr>
        <w:t>approach of Scottish Government’s Race Equality and Anti-Racism in Education Programme, a multi-agency stakeholde</w:t>
      </w:r>
      <w:r>
        <w:rPr>
          <w:sz w:val="28"/>
          <w:szCs w:val="28"/>
        </w:rPr>
        <w:t xml:space="preserve">r involvement and policy making </w:t>
      </w:r>
      <w:r w:rsidRPr="00650C1B">
        <w:rPr>
          <w:sz w:val="28"/>
          <w:szCs w:val="28"/>
        </w:rPr>
        <w:t>forum which is co-constructing an anti-racist plan of action for the primary and secondary school sectors. The resu</w:t>
      </w:r>
      <w:r>
        <w:rPr>
          <w:sz w:val="28"/>
          <w:szCs w:val="28"/>
        </w:rPr>
        <w:t xml:space="preserve">lting developments may give the </w:t>
      </w:r>
      <w:r w:rsidRPr="00650C1B">
        <w:rPr>
          <w:sz w:val="28"/>
          <w:szCs w:val="28"/>
        </w:rPr>
        <w:t>inspectorate the ability to more coherently and credibly consider race equality within its role.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8. Be efficient, avoiding duplication and eliminating unnecessary bureaucracy for providers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There are opportunities to create efficiencies within the policy landscape by providing more centralised guidance and standards on race equality,</w:t>
      </w:r>
      <w:r>
        <w:rPr>
          <w:sz w:val="28"/>
          <w:szCs w:val="28"/>
        </w:rPr>
        <w:t xml:space="preserve"> </w:t>
      </w:r>
      <w:r w:rsidRPr="00650C1B">
        <w:rPr>
          <w:sz w:val="28"/>
          <w:szCs w:val="28"/>
        </w:rPr>
        <w:t>ensuring that providers can do better for minority ethnic children and families without having to ‘reinvent the wheel’ within their own organisations.</w:t>
      </w:r>
    </w:p>
    <w:p w:rsidR="00650C1B" w:rsidRPr="00650C1B" w:rsidRDefault="00650C1B" w:rsidP="00650C1B">
      <w:pPr>
        <w:rPr>
          <w:b/>
          <w:sz w:val="28"/>
          <w:szCs w:val="28"/>
        </w:rPr>
      </w:pPr>
      <w:r w:rsidRPr="00650C1B">
        <w:rPr>
          <w:b/>
          <w:sz w:val="28"/>
          <w:szCs w:val="28"/>
        </w:rPr>
        <w:t>Do you think the draft guiding principles are missing anything?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Yes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In general, a clearer focus on the need for equality to be at the heart of inspection processes is missing. This could useful</w:t>
      </w:r>
      <w:r>
        <w:rPr>
          <w:sz w:val="28"/>
          <w:szCs w:val="28"/>
        </w:rPr>
        <w:t xml:space="preserve">ly be reflected both within the </w:t>
      </w:r>
      <w:r w:rsidRPr="00650C1B">
        <w:rPr>
          <w:sz w:val="28"/>
          <w:szCs w:val="28"/>
        </w:rPr>
        <w:t>existing principles and through inclusion of specific principles on this theme.</w:t>
      </w:r>
    </w:p>
    <w:p w:rsidR="00650C1B" w:rsidRPr="00650C1B" w:rsidRDefault="00650C1B" w:rsidP="00650C1B">
      <w:pPr>
        <w:rPr>
          <w:b/>
          <w:sz w:val="28"/>
          <w:szCs w:val="28"/>
        </w:rPr>
      </w:pPr>
      <w:r w:rsidRPr="00650C1B">
        <w:rPr>
          <w:b/>
          <w:sz w:val="28"/>
          <w:szCs w:val="28"/>
        </w:rPr>
        <w:t>Do you support the proposal to develop a shared quality framework between HMIE and the Care Inspectorate?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Yes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Anything which increases consistency and coherence, provided it adequately supports implementation of race equality an</w:t>
      </w:r>
      <w:r>
        <w:rPr>
          <w:sz w:val="28"/>
          <w:szCs w:val="28"/>
        </w:rPr>
        <w:t xml:space="preserve">d anti-racism measures, will be </w:t>
      </w:r>
      <w:r w:rsidRPr="00650C1B">
        <w:rPr>
          <w:sz w:val="28"/>
          <w:szCs w:val="28"/>
        </w:rPr>
        <w:t>welcome.</w:t>
      </w:r>
    </w:p>
    <w:p w:rsidR="00650C1B" w:rsidRPr="00650C1B" w:rsidRDefault="00650C1B" w:rsidP="00650C1B">
      <w:pPr>
        <w:rPr>
          <w:b/>
          <w:sz w:val="28"/>
          <w:szCs w:val="28"/>
        </w:rPr>
      </w:pPr>
      <w:r w:rsidRPr="00650C1B">
        <w:rPr>
          <w:b/>
          <w:sz w:val="28"/>
          <w:szCs w:val="28"/>
        </w:rPr>
        <w:t>Do you have any additional comments in relation to improving inspection of early learning and childcare an</w:t>
      </w:r>
      <w:r w:rsidRPr="00650C1B">
        <w:rPr>
          <w:b/>
          <w:sz w:val="28"/>
          <w:szCs w:val="28"/>
        </w:rPr>
        <w:t xml:space="preserve">d school age childcare services </w:t>
      </w:r>
      <w:r w:rsidRPr="00650C1B">
        <w:rPr>
          <w:b/>
          <w:sz w:val="28"/>
          <w:szCs w:val="28"/>
        </w:rPr>
        <w:t>in Scotland?</w:t>
      </w:r>
    </w:p>
    <w:p w:rsidR="00650C1B" w:rsidRPr="00650C1B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We would urge policy makers in this area to engage with and learn from colleagues involved in the Race Equali</w:t>
      </w:r>
      <w:r>
        <w:rPr>
          <w:sz w:val="28"/>
          <w:szCs w:val="28"/>
        </w:rPr>
        <w:t xml:space="preserve">ty and Anti-Racism in Education </w:t>
      </w:r>
      <w:r w:rsidRPr="00650C1B">
        <w:rPr>
          <w:sz w:val="28"/>
          <w:szCs w:val="28"/>
        </w:rPr>
        <w:t>Programme. Although this is aimed particularly at primary and secondary level education, there has been input of re</w:t>
      </w:r>
      <w:r>
        <w:rPr>
          <w:sz w:val="28"/>
          <w:szCs w:val="28"/>
        </w:rPr>
        <w:t xml:space="preserve">levance to the ELC environment </w:t>
      </w:r>
      <w:r w:rsidRPr="00650C1B">
        <w:rPr>
          <w:sz w:val="28"/>
          <w:szCs w:val="28"/>
        </w:rPr>
        <w:t>which could be shared.</w:t>
      </w:r>
    </w:p>
    <w:p w:rsidR="00230C23" w:rsidRPr="003E47B4" w:rsidRDefault="00650C1B" w:rsidP="00650C1B">
      <w:pPr>
        <w:rPr>
          <w:sz w:val="28"/>
          <w:szCs w:val="28"/>
        </w:rPr>
      </w:pPr>
      <w:r w:rsidRPr="00650C1B">
        <w:rPr>
          <w:sz w:val="28"/>
          <w:szCs w:val="28"/>
        </w:rPr>
        <w:t>With many areas of education reform taking place concurrently and a varied and, at times, potentially conflicting body</w:t>
      </w:r>
      <w:r>
        <w:rPr>
          <w:sz w:val="28"/>
          <w:szCs w:val="28"/>
        </w:rPr>
        <w:t xml:space="preserve"> of stakeholders to be engaged, </w:t>
      </w:r>
      <w:r w:rsidRPr="00650C1B">
        <w:rPr>
          <w:sz w:val="28"/>
          <w:szCs w:val="28"/>
        </w:rPr>
        <w:t>CRER remains concerned that race equality considerations will not be adequately addressed. We would urge Scottish G</w:t>
      </w:r>
      <w:r>
        <w:rPr>
          <w:sz w:val="28"/>
          <w:szCs w:val="28"/>
        </w:rPr>
        <w:t xml:space="preserve">overnment to ensure a joined-up </w:t>
      </w:r>
      <w:r w:rsidRPr="00650C1B">
        <w:rPr>
          <w:sz w:val="28"/>
          <w:szCs w:val="28"/>
        </w:rPr>
        <w:t>approach which targets and draws out vital input from Black and minority ethnic communities, learners and practi</w:t>
      </w:r>
      <w:r>
        <w:rPr>
          <w:sz w:val="28"/>
          <w:szCs w:val="28"/>
        </w:rPr>
        <w:t xml:space="preserve">tioners, as well as BME led and </w:t>
      </w:r>
      <w:r w:rsidRPr="00650C1B">
        <w:rPr>
          <w:sz w:val="28"/>
          <w:szCs w:val="28"/>
        </w:rPr>
        <w:t xml:space="preserve">anti-racist organisations. This input must be used effectively in developing approaches going forward during this historic </w:t>
      </w:r>
      <w:r>
        <w:rPr>
          <w:sz w:val="28"/>
          <w:szCs w:val="28"/>
        </w:rPr>
        <w:t xml:space="preserve">period of change. Failure to do </w:t>
      </w:r>
      <w:r w:rsidRPr="00650C1B">
        <w:rPr>
          <w:sz w:val="28"/>
          <w:szCs w:val="28"/>
        </w:rPr>
        <w:t>so could result in the maintenance of (and potentially the creation of new manifestations of) racial inequalities and institutional racism.</w:t>
      </w:r>
      <w:r w:rsidRPr="00650C1B">
        <w:rPr>
          <w:sz w:val="28"/>
          <w:szCs w:val="28"/>
        </w:rPr>
        <w:cr/>
      </w:r>
    </w:p>
    <w:sectPr w:rsidR="00230C23" w:rsidRPr="003E4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23" w:rsidRDefault="00230C23" w:rsidP="00230C23">
      <w:pPr>
        <w:spacing w:after="0" w:line="240" w:lineRule="auto"/>
      </w:pPr>
      <w:r>
        <w:separator/>
      </w:r>
    </w:p>
  </w:endnote>
  <w:endnote w:type="continuationSeparator" w:id="0">
    <w:p w:rsidR="00230C23" w:rsidRDefault="00230C23" w:rsidP="0023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23" w:rsidRDefault="00230C23" w:rsidP="00230C23">
      <w:pPr>
        <w:spacing w:after="0" w:line="240" w:lineRule="auto"/>
      </w:pPr>
      <w:r>
        <w:separator/>
      </w:r>
    </w:p>
  </w:footnote>
  <w:footnote w:type="continuationSeparator" w:id="0">
    <w:p w:rsidR="00230C23" w:rsidRDefault="00230C23" w:rsidP="00230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38D"/>
    <w:multiLevelType w:val="hybridMultilevel"/>
    <w:tmpl w:val="813C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4CE"/>
    <w:multiLevelType w:val="hybridMultilevel"/>
    <w:tmpl w:val="A51A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08A6"/>
    <w:multiLevelType w:val="hybridMultilevel"/>
    <w:tmpl w:val="F14E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52AA"/>
    <w:multiLevelType w:val="hybridMultilevel"/>
    <w:tmpl w:val="2436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D34"/>
    <w:multiLevelType w:val="multilevel"/>
    <w:tmpl w:val="9C68D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6B80FB7"/>
    <w:multiLevelType w:val="multilevel"/>
    <w:tmpl w:val="24F2C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9457D0"/>
    <w:multiLevelType w:val="hybridMultilevel"/>
    <w:tmpl w:val="3F2E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5839"/>
    <w:multiLevelType w:val="multilevel"/>
    <w:tmpl w:val="A6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F91DC6"/>
    <w:multiLevelType w:val="hybridMultilevel"/>
    <w:tmpl w:val="D5F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C0F05"/>
    <w:multiLevelType w:val="hybridMultilevel"/>
    <w:tmpl w:val="B360E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F386F"/>
    <w:multiLevelType w:val="hybridMultilevel"/>
    <w:tmpl w:val="955C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31D39"/>
    <w:multiLevelType w:val="hybridMultilevel"/>
    <w:tmpl w:val="7BC6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E4"/>
    <w:rsid w:val="00075DE5"/>
    <w:rsid w:val="000774D8"/>
    <w:rsid w:val="000C421C"/>
    <w:rsid w:val="000D3AC9"/>
    <w:rsid w:val="000F6B5D"/>
    <w:rsid w:val="001103FF"/>
    <w:rsid w:val="00132F52"/>
    <w:rsid w:val="00145EB2"/>
    <w:rsid w:val="001D4F3A"/>
    <w:rsid w:val="0020175C"/>
    <w:rsid w:val="00230C23"/>
    <w:rsid w:val="002F3C52"/>
    <w:rsid w:val="00304397"/>
    <w:rsid w:val="00330857"/>
    <w:rsid w:val="003555A2"/>
    <w:rsid w:val="003674E4"/>
    <w:rsid w:val="003C1B59"/>
    <w:rsid w:val="003E47B4"/>
    <w:rsid w:val="004C54A6"/>
    <w:rsid w:val="004D36CF"/>
    <w:rsid w:val="004D7C16"/>
    <w:rsid w:val="004E0DD4"/>
    <w:rsid w:val="004E24C0"/>
    <w:rsid w:val="004F32EC"/>
    <w:rsid w:val="005B14A2"/>
    <w:rsid w:val="00623638"/>
    <w:rsid w:val="00645856"/>
    <w:rsid w:val="00650C1B"/>
    <w:rsid w:val="00650EB7"/>
    <w:rsid w:val="006A37FE"/>
    <w:rsid w:val="006E462E"/>
    <w:rsid w:val="00706EB5"/>
    <w:rsid w:val="007765B8"/>
    <w:rsid w:val="007A77B0"/>
    <w:rsid w:val="007D2264"/>
    <w:rsid w:val="00854ECF"/>
    <w:rsid w:val="00891E05"/>
    <w:rsid w:val="00897ADD"/>
    <w:rsid w:val="008B07A8"/>
    <w:rsid w:val="00AC7ED3"/>
    <w:rsid w:val="00B45E98"/>
    <w:rsid w:val="00B96611"/>
    <w:rsid w:val="00BA3758"/>
    <w:rsid w:val="00C02A83"/>
    <w:rsid w:val="00C03B86"/>
    <w:rsid w:val="00CB4F31"/>
    <w:rsid w:val="00D65C8E"/>
    <w:rsid w:val="00DB2008"/>
    <w:rsid w:val="00DB2FF2"/>
    <w:rsid w:val="00DC1C0C"/>
    <w:rsid w:val="00E04CA9"/>
    <w:rsid w:val="00E662D6"/>
    <w:rsid w:val="00EA321F"/>
    <w:rsid w:val="00EB7018"/>
    <w:rsid w:val="00EC0714"/>
    <w:rsid w:val="00EC0CDC"/>
    <w:rsid w:val="00EE3555"/>
    <w:rsid w:val="00EF6F63"/>
    <w:rsid w:val="00F206EC"/>
    <w:rsid w:val="00F255A5"/>
    <w:rsid w:val="00F7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D9077-1DD3-4B83-A0EE-C0B700C2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638"/>
    <w:pPr>
      <w:keepNext/>
      <w:outlineLvl w:val="1"/>
    </w:pPr>
    <w:rPr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A83"/>
    <w:pPr>
      <w:keepNext/>
      <w:outlineLvl w:val="2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qFormat/>
    <w:rsid w:val="00C03B86"/>
    <w:rPr>
      <w:b/>
      <w:sz w:val="40"/>
    </w:rPr>
  </w:style>
  <w:style w:type="character" w:customStyle="1" w:styleId="Style1Char">
    <w:name w:val="Style1 Char"/>
    <w:basedOn w:val="Heading1Char"/>
    <w:link w:val="Style1"/>
    <w:rsid w:val="00C03B86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03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2">
    <w:name w:val="Style2"/>
    <w:basedOn w:val="Heading1"/>
    <w:link w:val="Style2Char"/>
    <w:autoRedefine/>
    <w:qFormat/>
    <w:rsid w:val="00C03B86"/>
    <w:rPr>
      <w:b/>
    </w:rPr>
  </w:style>
  <w:style w:type="character" w:customStyle="1" w:styleId="Style2Char">
    <w:name w:val="Style2 Char"/>
    <w:basedOn w:val="Heading1Char"/>
    <w:link w:val="Style2"/>
    <w:rsid w:val="00C03B8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Contents1">
    <w:name w:val="Contents 1"/>
    <w:basedOn w:val="Normal"/>
    <w:link w:val="Contents1Char"/>
    <w:autoRedefine/>
    <w:qFormat/>
    <w:rsid w:val="00C03B86"/>
    <w:pPr>
      <w:spacing w:after="120" w:line="240" w:lineRule="auto"/>
    </w:pPr>
    <w:rPr>
      <w:rFonts w:ascii="Calibri" w:eastAsia="Times New Roman" w:hAnsi="Calibri" w:cs="Calibri"/>
      <w:b/>
      <w:bCs/>
      <w:sz w:val="32"/>
      <w:szCs w:val="32"/>
      <w:lang w:eastAsia="en-GB"/>
    </w:rPr>
  </w:style>
  <w:style w:type="character" w:customStyle="1" w:styleId="Contents1Char">
    <w:name w:val="Contents 1 Char"/>
    <w:basedOn w:val="DefaultParagraphFont"/>
    <w:link w:val="Contents1"/>
    <w:rsid w:val="00C03B86"/>
    <w:rPr>
      <w:rFonts w:ascii="Calibri" w:eastAsia="Times New Roman" w:hAnsi="Calibri" w:cs="Calibri"/>
      <w:b/>
      <w:bCs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67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39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30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C2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706EB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06EB5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3638"/>
    <w:rPr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C02A83"/>
    <w:rPr>
      <w:b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02A83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2A83"/>
    <w:rPr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9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8359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37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2324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77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486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6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71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21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5900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038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247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646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4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3131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455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221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900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44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31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78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4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8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0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4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7A7A80"/>
                                                <w:left w:val="single" w:sz="6" w:space="12" w:color="7A7A80"/>
                                                <w:bottom w:val="single" w:sz="6" w:space="8" w:color="7A7A80"/>
                                                <w:right w:val="single" w:sz="6" w:space="12" w:color="7A7A80"/>
                                              </w:divBdr>
                                            </w:div>
                                          </w:divsChild>
                                        </w:div>
                                        <w:div w:id="6303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1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C248-95CD-4E93-8FE3-AF13050C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Carol Young</cp:lastModifiedBy>
  <cp:revision>4</cp:revision>
  <dcterms:created xsi:type="dcterms:W3CDTF">2022-12-01T14:01:00Z</dcterms:created>
  <dcterms:modified xsi:type="dcterms:W3CDTF">2022-12-01T14:10:00Z</dcterms:modified>
</cp:coreProperties>
</file>